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pacing w:line="360" w:lineRule="auto"/>
        <w:ind w:left="0" w:leftChars="0" w:right="440" w:rightChars="200" w:firstLine="0" w:firstLineChars="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lang w:eastAsia="zh-CN"/>
        </w:rPr>
        <w:t>合肥市第一人民医院</w:t>
      </w:r>
      <w:r>
        <w:rPr>
          <w:rFonts w:hint="eastAsia" w:ascii="方正小标宋简体" w:hAnsi="方正小标宋简体" w:eastAsia="方正小标宋简体" w:cs="方正小标宋简体"/>
          <w:b w:val="0"/>
          <w:bCs/>
          <w:sz w:val="44"/>
          <w:szCs w:val="44"/>
        </w:rPr>
        <w:t>外科</w:t>
      </w:r>
      <w:r>
        <w:rPr>
          <w:rFonts w:hint="eastAsia" w:ascii="方正小标宋简体" w:hAnsi="方正小标宋简体" w:eastAsia="方正小标宋简体" w:cs="方正小标宋简体"/>
          <w:b w:val="0"/>
          <w:bCs/>
          <w:sz w:val="44"/>
          <w:szCs w:val="44"/>
          <w:lang w:eastAsia="zh-CN"/>
        </w:rPr>
        <w:t>专业</w:t>
      </w:r>
      <w:r>
        <w:rPr>
          <w:rFonts w:hint="eastAsia" w:ascii="方正小标宋简体" w:hAnsi="方正小标宋简体" w:eastAsia="方正小标宋简体" w:cs="方正小标宋简体"/>
          <w:b w:val="0"/>
          <w:bCs/>
          <w:sz w:val="44"/>
          <w:szCs w:val="44"/>
        </w:rPr>
        <w:t>基地简介</w:t>
      </w:r>
    </w:p>
    <w:p>
      <w:pPr>
        <w:pStyle w:val="11"/>
        <w:numPr>
          <w:ilvl w:val="0"/>
          <w:numId w:val="1"/>
        </w:numPr>
        <w:spacing w:line="360" w:lineRule="auto"/>
        <w:ind w:right="440" w:rightChars="200" w:firstLineChars="0"/>
        <w:jc w:val="left"/>
        <w:rPr>
          <w:rFonts w:hint="eastAsia" w:ascii="仿宋" w:hAnsi="仿宋" w:eastAsia="仿宋" w:cs="仿宋"/>
          <w:b/>
          <w:sz w:val="32"/>
          <w:szCs w:val="32"/>
        </w:rPr>
      </w:pPr>
      <w:r>
        <w:rPr>
          <w:rFonts w:hint="eastAsia" w:ascii="仿宋" w:hAnsi="仿宋" w:eastAsia="仿宋" w:cs="仿宋"/>
          <w:b/>
          <w:sz w:val="32"/>
          <w:szCs w:val="32"/>
        </w:rPr>
        <w:t>学科地位和师资力量</w:t>
      </w:r>
    </w:p>
    <w:p>
      <w:pPr>
        <w:spacing w:line="360" w:lineRule="auto"/>
        <w:ind w:right="440" w:rightChars="200" w:firstLine="640" w:firstLineChars="200"/>
        <w:jc w:val="left"/>
        <w:rPr>
          <w:rFonts w:hint="eastAsia" w:ascii="仿宋" w:hAnsi="仿宋" w:eastAsia="仿宋" w:cs="仿宋"/>
          <w:sz w:val="32"/>
          <w:szCs w:val="32"/>
        </w:rPr>
      </w:pPr>
      <w:r>
        <w:rPr>
          <w:rFonts w:hint="eastAsia" w:ascii="仿宋" w:hAnsi="仿宋" w:eastAsia="仿宋" w:cs="仿宋"/>
          <w:sz w:val="32"/>
          <w:szCs w:val="32"/>
        </w:rPr>
        <w:t>合肥市第一人民医院（安徽医科大学第三附属医院）外科基地是国家卫健委、安徽省卫健委外科住院医师规范化培训基地；安徽医科大学普外科硕士学位授予点；安徽省第一周期重点扶持学科、第二周期省市重点学科、第三周期临床医学特色专科；合肥市第一、第二、第三、第五、第六周期重点学科。普外科编制床位280张，现有医师66人，其中主任医师7人，副主任医师21人，主治医师24人，拥有江淮名医1人，合肥市名医工作室领衔人1人，具有博士学历7人，硕士学历48人，硕士研究生导师7人。由肝胆胰外科、胃肠外科、血管外科及甲乳外科四个专科组成，病种齐全，能满足外科常见病及罕见病的诊治教学工作。外科相关轮转科室包括：骨科、泌尿外科、胸心外科、麻醉科、神经外科及外科重症监护治疗室。</w:t>
      </w:r>
    </w:p>
    <w:p>
      <w:pPr>
        <w:spacing w:line="360" w:lineRule="auto"/>
        <w:ind w:right="440" w:rightChars="200"/>
        <w:jc w:val="left"/>
        <w:rPr>
          <w:rFonts w:hint="eastAsia" w:ascii="仿宋" w:hAnsi="仿宋" w:eastAsia="仿宋" w:cs="仿宋"/>
          <w:b/>
          <w:sz w:val="32"/>
          <w:szCs w:val="32"/>
        </w:rPr>
      </w:pPr>
      <w:r>
        <w:rPr>
          <w:rFonts w:hint="eastAsia" w:ascii="仿宋" w:hAnsi="仿宋" w:eastAsia="仿宋" w:cs="仿宋"/>
          <w:b/>
          <w:sz w:val="32"/>
          <w:szCs w:val="32"/>
        </w:rPr>
        <w:t>二、先进设备</w:t>
      </w:r>
    </w:p>
    <w:p>
      <w:pPr>
        <w:spacing w:line="360" w:lineRule="auto"/>
        <w:ind w:right="440" w:rightChars="200" w:firstLine="640" w:firstLineChars="200"/>
        <w:jc w:val="left"/>
        <w:rPr>
          <w:rFonts w:hint="eastAsia" w:ascii="仿宋" w:hAnsi="仿宋" w:eastAsia="仿宋" w:cs="仿宋"/>
          <w:sz w:val="32"/>
          <w:szCs w:val="32"/>
        </w:rPr>
      </w:pPr>
      <w:r>
        <w:rPr>
          <w:rFonts w:hint="eastAsia" w:ascii="仿宋" w:hAnsi="仿宋" w:eastAsia="仿宋" w:cs="仿宋"/>
          <w:sz w:val="32"/>
          <w:szCs w:val="32"/>
        </w:rPr>
        <w:t>外科基地拥有LapVR模拟腔镜训练器等教学设备及腹腔镜模拟训练中心；临床工作中有STORZ荧光腔镜，</w:t>
      </w:r>
      <w:r>
        <w:rPr>
          <w:rFonts w:hint="eastAsia" w:ascii="仿宋" w:hAnsi="仿宋" w:eastAsia="仿宋" w:cs="仿宋"/>
          <w:color w:val="000000"/>
          <w:kern w:val="2"/>
          <w:sz w:val="32"/>
          <w:szCs w:val="32"/>
        </w:rPr>
        <w:t>3D、高清腹腔镜，</w:t>
      </w:r>
      <w:r>
        <w:rPr>
          <w:rFonts w:hint="eastAsia" w:ascii="仿宋" w:hAnsi="仿宋" w:eastAsia="仿宋" w:cs="仿宋"/>
          <w:color w:val="000000" w:themeColor="text1"/>
          <w:kern w:val="2"/>
          <w:sz w:val="32"/>
          <w:szCs w:val="32"/>
        </w:rPr>
        <w:t>OTV-S190</w:t>
      </w:r>
      <w:r>
        <w:rPr>
          <w:rFonts w:hint="eastAsia" w:ascii="仿宋" w:hAnsi="仿宋" w:eastAsia="仿宋" w:cs="仿宋"/>
          <w:color w:val="000000" w:themeColor="text1"/>
          <w:kern w:val="24"/>
          <w:sz w:val="32"/>
          <w:szCs w:val="32"/>
        </w:rPr>
        <w:t>胆道镜，</w:t>
      </w:r>
      <w:r>
        <w:rPr>
          <w:rFonts w:hint="eastAsia" w:ascii="仿宋" w:hAnsi="仿宋" w:eastAsia="仿宋" w:cs="仿宋"/>
          <w:sz w:val="32"/>
          <w:szCs w:val="32"/>
        </w:rPr>
        <w:t>爱尔博能量平台，</w:t>
      </w:r>
      <w:r>
        <w:rPr>
          <w:rFonts w:hint="eastAsia" w:ascii="仿宋" w:hAnsi="仿宋" w:eastAsia="仿宋" w:cs="仿宋"/>
          <w:color w:val="000000"/>
          <w:kern w:val="2"/>
          <w:sz w:val="32"/>
          <w:szCs w:val="32"/>
        </w:rPr>
        <w:t>DSA</w:t>
      </w:r>
      <w:r>
        <w:rPr>
          <w:rFonts w:hint="eastAsia" w:ascii="仿宋" w:hAnsi="仿宋" w:eastAsia="仿宋" w:cs="仿宋"/>
          <w:color w:val="000000" w:themeColor="text1"/>
          <w:kern w:val="24"/>
          <w:sz w:val="32"/>
          <w:szCs w:val="32"/>
        </w:rPr>
        <w:t xml:space="preserve"> ，</w:t>
      </w:r>
      <w:r>
        <w:rPr>
          <w:rFonts w:hint="eastAsia" w:ascii="仿宋" w:hAnsi="仿宋" w:eastAsia="仿宋" w:cs="仿宋"/>
          <w:color w:val="000000" w:themeColor="text1"/>
          <w:kern w:val="2"/>
          <w:sz w:val="32"/>
          <w:szCs w:val="32"/>
        </w:rPr>
        <w:t>丹麦BK1202术中超声，</w:t>
      </w:r>
      <w:r>
        <w:rPr>
          <w:rFonts w:hint="eastAsia" w:ascii="仿宋" w:hAnsi="仿宋" w:eastAsia="仿宋" w:cs="仿宋"/>
          <w:color w:val="000000" w:themeColor="text1"/>
          <w:kern w:val="24"/>
          <w:sz w:val="32"/>
          <w:szCs w:val="32"/>
        </w:rPr>
        <w:t>强生</w:t>
      </w:r>
      <w:r>
        <w:rPr>
          <w:rFonts w:hint="eastAsia" w:ascii="仿宋" w:hAnsi="仿宋" w:eastAsia="仿宋" w:cs="仿宋"/>
          <w:color w:val="000000"/>
          <w:kern w:val="24"/>
          <w:sz w:val="32"/>
          <w:szCs w:val="32"/>
        </w:rPr>
        <w:t>超声刀，</w:t>
      </w:r>
      <w:r>
        <w:rPr>
          <w:rFonts w:hint="eastAsia" w:ascii="仿宋" w:hAnsi="仿宋" w:eastAsia="仿宋" w:cs="仿宋"/>
          <w:color w:val="000000" w:themeColor="text1"/>
          <w:kern w:val="24"/>
          <w:sz w:val="32"/>
          <w:szCs w:val="32"/>
        </w:rPr>
        <w:t>微波消融治疗仪，VS3000</w:t>
      </w:r>
      <w:r>
        <w:rPr>
          <w:rFonts w:hint="eastAsia" w:ascii="仿宋" w:hAnsi="仿宋" w:eastAsia="仿宋" w:cs="仿宋"/>
          <w:color w:val="000000"/>
          <w:kern w:val="24"/>
          <w:sz w:val="32"/>
          <w:szCs w:val="32"/>
        </w:rPr>
        <w:t>真空辅助全自动乳腺微创旋切系统</w:t>
      </w:r>
      <w:r>
        <w:rPr>
          <w:rFonts w:hint="eastAsia" w:ascii="仿宋" w:hAnsi="仿宋" w:eastAsia="仿宋" w:cs="仿宋"/>
          <w:sz w:val="32"/>
          <w:szCs w:val="32"/>
        </w:rPr>
        <w:t>，完善了从基础到临床训练体系。为外科规培学员的学习及工作提供保障，为学员适应外科手术微创化打下坚实基础！</w:t>
      </w:r>
    </w:p>
    <w:p>
      <w:pPr>
        <w:spacing w:line="360" w:lineRule="auto"/>
        <w:ind w:right="440" w:rightChars="200"/>
        <w:jc w:val="left"/>
        <w:rPr>
          <w:rFonts w:hint="eastAsia" w:ascii="仿宋" w:hAnsi="仿宋" w:eastAsia="仿宋" w:cs="仿宋"/>
          <w:b/>
          <w:sz w:val="32"/>
          <w:szCs w:val="32"/>
        </w:rPr>
      </w:pPr>
      <w:r>
        <w:rPr>
          <w:rFonts w:hint="eastAsia" w:ascii="仿宋" w:hAnsi="仿宋" w:eastAsia="仿宋" w:cs="仿宋"/>
          <w:b/>
          <w:sz w:val="32"/>
          <w:szCs w:val="32"/>
        </w:rPr>
        <w:t>三、先进技术</w:t>
      </w:r>
      <w:bookmarkStart w:id="0" w:name="_GoBack"/>
      <w:bookmarkEnd w:id="0"/>
    </w:p>
    <w:p>
      <w:pPr>
        <w:spacing w:line="360" w:lineRule="auto"/>
        <w:ind w:right="440" w:rightChars="200" w:firstLine="640" w:firstLineChars="200"/>
        <w:jc w:val="left"/>
        <w:rPr>
          <w:rFonts w:hint="eastAsia" w:ascii="仿宋" w:hAnsi="仿宋" w:eastAsia="仿宋" w:cs="仿宋"/>
          <w:sz w:val="32"/>
          <w:szCs w:val="32"/>
        </w:rPr>
      </w:pPr>
      <w:r>
        <w:rPr>
          <w:rFonts w:hint="eastAsia" w:ascii="仿宋" w:hAnsi="仿宋" w:eastAsia="仿宋" w:cs="仿宋"/>
          <w:sz w:val="32"/>
          <w:szCs w:val="32"/>
        </w:rPr>
        <w:t>胃肠外科于2004年率先在安徽省开展胃癌和结直肠癌的序贯综合治疗，包括新辅助化疗、规范的根治手术、术中温热化疗、术后早期肠内营养支持治疗、术后辅助化疗和长期随访。2009年开始与复旦大学上海肿瘤医院蔡三军教授团队，广州中山大学一附院胃肠胰外科何裕隆教授团队合作开展大肠癌和胃癌的标准化、规范手术和多学科综合治疗，建立安徽胃肠肿瘤外科治疗和科研合作中心，以上海肿瘤医院和中山大学附属医院手术理念和技巧为基础，密切关注国内外手术治疗新进展、新技术和新观念，形成我科核心技术，提高我科胃肠肿瘤诊治水平。目前常规开展的手术有：规范的胃癌D2手术、结肠癌全结肠系膜切除术、直肠癌全直肠系膜切除术、各种小肠手术、复杂的腹膜后肿瘤切除术、各种消化道重建手术和晚期胃癌、结直肠癌转化治疗后根治性或姑息性手术。</w:t>
      </w:r>
    </w:p>
    <w:p>
      <w:pPr>
        <w:spacing w:line="360" w:lineRule="auto"/>
        <w:ind w:right="440" w:rightChars="200" w:firstLine="640" w:firstLineChars="200"/>
        <w:jc w:val="left"/>
        <w:rPr>
          <w:rFonts w:hint="eastAsia" w:ascii="仿宋" w:hAnsi="仿宋" w:eastAsia="仿宋" w:cs="仿宋"/>
          <w:sz w:val="32"/>
          <w:szCs w:val="32"/>
        </w:rPr>
      </w:pPr>
      <w:r>
        <w:rPr>
          <w:rFonts w:hint="eastAsia" w:ascii="仿宋" w:hAnsi="仿宋" w:eastAsia="仿宋" w:cs="仿宋"/>
          <w:sz w:val="32"/>
          <w:szCs w:val="32"/>
        </w:rPr>
        <w:t>肝胆胰外科在我市率先开展特色专科建设，目前开展的常规手术有：胆囊、胆管结石的微创治疗，肝癌和肝门部胆管癌根治性切除术，胰十二指肠切除术，胰体尾癌的根治术，胆囊癌根治术，胆管损伤的修复治疗，复杂胆道及肝内外胆管结石手术治疗，重症胰腺炎个体化、规范化治疗，门脉高压症外科治疗等。与复旦大学附属中山医院肝外科签定合作中心，长期与瑞金医院及长海医院胰腺中心合作。早在2004年至2006年就开展肝脏移植手术30余例，现在每年开展10余例器官获取工作，目前正重新申请器官移植相关资质。</w:t>
      </w:r>
    </w:p>
    <w:p>
      <w:pPr>
        <w:spacing w:line="360" w:lineRule="auto"/>
        <w:ind w:right="440" w:rightChars="200" w:firstLine="640" w:firstLineChars="200"/>
        <w:jc w:val="left"/>
        <w:rPr>
          <w:rFonts w:hint="eastAsia" w:ascii="仿宋" w:hAnsi="仿宋" w:eastAsia="仿宋" w:cs="仿宋"/>
          <w:sz w:val="32"/>
          <w:szCs w:val="32"/>
        </w:rPr>
      </w:pPr>
      <w:r>
        <w:rPr>
          <w:rFonts w:hint="eastAsia" w:ascii="仿宋" w:hAnsi="仿宋" w:eastAsia="仿宋" w:cs="仿宋"/>
          <w:sz w:val="32"/>
          <w:szCs w:val="32"/>
        </w:rPr>
        <w:t>甲乳外科开设有甲状腺乳腺外科专家门诊，并附设了乳腺疾病微创治疗室、空芯针活检治疗室，以高质量、专业化的医疗服务开展了乳腺、甲状腺专业各种疾病的诊疗工作。并与上海复旦大学附属肿瘤医院合作，成立上海肿瘤医院甲状腺乳腺诊疗合作中心。目前已成为集甲状腺、乳腺疾病早期诊断、综合治疗、微创手术为一体的临床医疗中心。在甲状腺、乳腺疾病的早期诊断和综合治疗方面处于我市领先水平。</w:t>
      </w:r>
    </w:p>
    <w:p>
      <w:pPr>
        <w:spacing w:line="360" w:lineRule="auto"/>
        <w:ind w:right="440" w:rightChars="200" w:firstLine="640" w:firstLineChars="200"/>
        <w:jc w:val="left"/>
        <w:rPr>
          <w:rFonts w:hint="eastAsia" w:ascii="仿宋" w:hAnsi="仿宋" w:eastAsia="仿宋" w:cs="仿宋"/>
          <w:sz w:val="32"/>
          <w:szCs w:val="32"/>
        </w:rPr>
      </w:pPr>
      <w:r>
        <w:rPr>
          <w:rFonts w:hint="eastAsia" w:ascii="仿宋" w:hAnsi="仿宋" w:eastAsia="仿宋" w:cs="仿宋"/>
          <w:sz w:val="32"/>
          <w:szCs w:val="32"/>
        </w:rPr>
        <w:t>血管外科具有血管专科先进的诊疗技术，配备Siemens数字血管造影机、无创多普勒超声血管检查、CTA、MRA、DSA、PVL等尖端检查和治疗设备。可开展微创治疗下肢静脉曲张、髂静脉压迫综合征的腔内治疗、下肢深静脉血栓的综合治疗、下肢动脉硬化性闭塞症的综合治疗、急性动脉血栓置管溶栓术、动脉切开取栓术、下腔静脉滤器植入及取出术、髂股动脉狭窄闭塞段球囊扩张成形支架植入术、主动脉夹层及腹主动脉瘤的腔内及开放手术、颈动脉体瘤切除术、颈动脉狭窄的腔内及手术治疗。与复旦大学附属中山医院血管外科、上海交通大学附属第九人民医院血管外科、上海交通大学附属仁济医院血管外科有密切的临床及学术交流，构建共同合作的良好平台。</w:t>
      </w:r>
    </w:p>
    <w:p>
      <w:pPr>
        <w:spacing w:line="360" w:lineRule="auto"/>
        <w:ind w:right="440" w:rightChars="200"/>
        <w:jc w:val="left"/>
        <w:rPr>
          <w:rFonts w:hint="eastAsia" w:ascii="仿宋" w:hAnsi="仿宋" w:eastAsia="仿宋" w:cs="仿宋"/>
          <w:b/>
          <w:sz w:val="32"/>
          <w:szCs w:val="32"/>
        </w:rPr>
      </w:pPr>
      <w:r>
        <w:rPr>
          <w:rFonts w:hint="eastAsia" w:ascii="仿宋" w:hAnsi="仿宋" w:eastAsia="仿宋" w:cs="仿宋"/>
          <w:b/>
          <w:sz w:val="32"/>
          <w:szCs w:val="32"/>
        </w:rPr>
        <w:t>四、教学活动</w:t>
      </w:r>
    </w:p>
    <w:p>
      <w:pPr>
        <w:spacing w:line="360" w:lineRule="auto"/>
        <w:ind w:right="440" w:rightChars="200" w:firstLine="640" w:firstLineChars="200"/>
        <w:jc w:val="left"/>
        <w:rPr>
          <w:rFonts w:hint="eastAsia" w:ascii="仿宋" w:hAnsi="仿宋" w:eastAsia="仿宋" w:cs="仿宋"/>
          <w:sz w:val="32"/>
          <w:szCs w:val="32"/>
        </w:rPr>
      </w:pPr>
      <w:r>
        <w:rPr>
          <w:rFonts w:hint="eastAsia" w:ascii="仿宋" w:hAnsi="仿宋" w:eastAsia="仿宋" w:cs="仿宋"/>
          <w:sz w:val="32"/>
          <w:szCs w:val="32"/>
        </w:rPr>
        <w:t>外科基地是国家卫健委第一批住院医师规范化培训基地，自2014年开始，已培训七届外科规范化培训学员，其中2019年外科规培学员结业考试通过率100%，2020年外科规培学员结业考试通过率92%，每年都有培训合格学员留在本院参加工作。合肥市第一人民医院为安徽医科大学第三附属医院，在外科基地规培学员可申请报考安徽医科大学硕士学位和在职硕士研究生等。医院建立了导师制度，住培生可以与导师双向选择，并接受基地与导师双重培训和指导。到每个专科均有专门的带教老师，可以参与值班，按本院住院医生要求培养。基地严格按照住培大纲进行教学、培训及考核。教学形式多样：有床边带教，小讲课，教学查房，病例讨论，技能培训等，强化过程管理，提升教学质量的同时，确保结业考核人人过关，出基地后个个能够独当一面。</w:t>
      </w:r>
    </w:p>
    <w:p>
      <w:pPr>
        <w:spacing w:line="360" w:lineRule="auto"/>
        <w:ind w:right="440" w:rightChars="200"/>
        <w:jc w:val="center"/>
        <w:rPr>
          <w:rFonts w:ascii="Times New Roman" w:hAnsi="Times New Roman" w:eastAsia="宋体"/>
          <w:sz w:val="32"/>
        </w:rPr>
      </w:pPr>
      <w:r>
        <w:rPr>
          <w:rFonts w:ascii="Times New Roman" w:hAnsi="Times New Roman" w:eastAsia="宋体"/>
          <w:sz w:val="32"/>
        </w:rPr>
        <w:drawing>
          <wp:inline distT="0" distB="0" distL="0" distR="0">
            <wp:extent cx="4956175" cy="3717290"/>
            <wp:effectExtent l="0" t="0" r="15875"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956175" cy="3717290"/>
                    </a:xfrm>
                    <a:prstGeom prst="rect">
                      <a:avLst/>
                    </a:prstGeom>
                    <a:noFill/>
                  </pic:spPr>
                </pic:pic>
              </a:graphicData>
            </a:graphic>
          </wp:inline>
        </w:drawing>
      </w:r>
    </w:p>
    <w:p>
      <w:pPr>
        <w:spacing w:line="360" w:lineRule="auto"/>
        <w:ind w:right="440" w:rightChars="200"/>
        <w:jc w:val="center"/>
        <w:rPr>
          <w:rFonts w:ascii="Times New Roman" w:hAnsi="Times New Roman" w:eastAsia="宋体"/>
          <w:sz w:val="32"/>
        </w:rPr>
      </w:pPr>
      <w:r>
        <w:rPr>
          <w:rFonts w:ascii="Times New Roman" w:hAnsi="Times New Roman" w:eastAsia="宋体"/>
          <w:sz w:val="32"/>
        </w:rPr>
        <w:drawing>
          <wp:inline distT="0" distB="0" distL="0" distR="0">
            <wp:extent cx="4962525" cy="3721735"/>
            <wp:effectExtent l="0" t="0" r="952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962525" cy="3721735"/>
                    </a:xfrm>
                    <a:prstGeom prst="rect">
                      <a:avLst/>
                    </a:prstGeom>
                    <a:noFill/>
                  </pic:spPr>
                </pic:pic>
              </a:graphicData>
            </a:graphic>
          </wp:inline>
        </w:drawing>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763860"/>
    <w:multiLevelType w:val="multilevel"/>
    <w:tmpl w:val="5A763860"/>
    <w:lvl w:ilvl="0" w:tentative="0">
      <w:start w:val="1"/>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characterSpacingControl w:val="doNotCompress"/>
  <w:footnotePr>
    <w:footnote w:id="0"/>
    <w:footnote w:id="1"/>
  </w:footnotePr>
  <w:compat>
    <w:useFELayout/>
    <w:compatSetting w:name="compatibilityMode" w:uri="http://schemas.microsoft.com/office/word" w:val="12"/>
  </w:compat>
  <w:docVars>
    <w:docVar w:name="commondata" w:val="eyJoZGlkIjoiMGYyYWQyNWY5ZTg2NTlkOTRiYmRhZDM4OWEwNWZlNWIifQ=="/>
  </w:docVars>
  <w:rsids>
    <w:rsidRoot w:val="00D31D50"/>
    <w:rsid w:val="001E4DA0"/>
    <w:rsid w:val="001E50F2"/>
    <w:rsid w:val="0022637B"/>
    <w:rsid w:val="00271A1C"/>
    <w:rsid w:val="002D6B6D"/>
    <w:rsid w:val="00323B43"/>
    <w:rsid w:val="00333940"/>
    <w:rsid w:val="003B11A5"/>
    <w:rsid w:val="003D37D8"/>
    <w:rsid w:val="00426133"/>
    <w:rsid w:val="004358AB"/>
    <w:rsid w:val="00445F46"/>
    <w:rsid w:val="00540339"/>
    <w:rsid w:val="005E6D47"/>
    <w:rsid w:val="00626028"/>
    <w:rsid w:val="00680704"/>
    <w:rsid w:val="00722951"/>
    <w:rsid w:val="007428D8"/>
    <w:rsid w:val="00742FEE"/>
    <w:rsid w:val="007B67CB"/>
    <w:rsid w:val="007B7AF3"/>
    <w:rsid w:val="007C7C89"/>
    <w:rsid w:val="008B7726"/>
    <w:rsid w:val="00A47F4E"/>
    <w:rsid w:val="00A57685"/>
    <w:rsid w:val="00A7366C"/>
    <w:rsid w:val="00AC3139"/>
    <w:rsid w:val="00B554C6"/>
    <w:rsid w:val="00B66280"/>
    <w:rsid w:val="00BF1AA9"/>
    <w:rsid w:val="00C00438"/>
    <w:rsid w:val="00CF32FE"/>
    <w:rsid w:val="00D31D50"/>
    <w:rsid w:val="00DD360C"/>
    <w:rsid w:val="00DE65E6"/>
    <w:rsid w:val="00E07FE7"/>
    <w:rsid w:val="00E74FDD"/>
    <w:rsid w:val="00EA1F97"/>
    <w:rsid w:val="00EB5C1C"/>
    <w:rsid w:val="00EF407B"/>
    <w:rsid w:val="00EF58DC"/>
    <w:rsid w:val="00F5695E"/>
    <w:rsid w:val="08880A82"/>
    <w:rsid w:val="10FA5711"/>
    <w:rsid w:val="59BE43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pPr>
      <w:spacing w:after="0"/>
    </w:pPr>
    <w:rPr>
      <w:sz w:val="18"/>
      <w:szCs w:val="18"/>
    </w:rPr>
  </w:style>
  <w:style w:type="paragraph" w:styleId="3">
    <w:name w:val="footer"/>
    <w:basedOn w:val="1"/>
    <w:link w:val="9"/>
    <w:semiHidden/>
    <w:unhideWhenUsed/>
    <w:qFormat/>
    <w:uiPriority w:val="99"/>
    <w:pPr>
      <w:tabs>
        <w:tab w:val="center" w:pos="4153"/>
        <w:tab w:val="right" w:pos="8306"/>
      </w:tabs>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jc w:val="center"/>
    </w:pPr>
    <w:rPr>
      <w:sz w:val="18"/>
      <w:szCs w:val="18"/>
    </w:rPr>
  </w:style>
  <w:style w:type="paragraph" w:styleId="5">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character" w:customStyle="1" w:styleId="8">
    <w:name w:val="页眉 Char"/>
    <w:basedOn w:val="7"/>
    <w:link w:val="4"/>
    <w:semiHidden/>
    <w:qFormat/>
    <w:uiPriority w:val="99"/>
    <w:rPr>
      <w:rFonts w:ascii="Tahoma" w:hAnsi="Tahoma"/>
      <w:sz w:val="18"/>
      <w:szCs w:val="18"/>
    </w:rPr>
  </w:style>
  <w:style w:type="character" w:customStyle="1" w:styleId="9">
    <w:name w:val="页脚 Char"/>
    <w:basedOn w:val="7"/>
    <w:link w:val="3"/>
    <w:semiHidden/>
    <w:qFormat/>
    <w:uiPriority w:val="99"/>
    <w:rPr>
      <w:rFonts w:ascii="Tahoma" w:hAnsi="Tahoma"/>
      <w:sz w:val="18"/>
      <w:szCs w:val="18"/>
    </w:rPr>
  </w:style>
  <w:style w:type="character" w:customStyle="1" w:styleId="10">
    <w:name w:val="批注框文本 Char"/>
    <w:basedOn w:val="7"/>
    <w:link w:val="2"/>
    <w:semiHidden/>
    <w:uiPriority w:val="99"/>
    <w:rPr>
      <w:rFonts w:ascii="Tahoma" w:hAnsi="Tahoma"/>
      <w:sz w:val="18"/>
      <w:szCs w:val="18"/>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4</Pages>
  <Words>293</Words>
  <Characters>1673</Characters>
  <Lines>13</Lines>
  <Paragraphs>3</Paragraphs>
  <TotalTime>193</TotalTime>
  <ScaleCrop>false</ScaleCrop>
  <LinksUpToDate>false</LinksUpToDate>
  <CharactersWithSpaces>1963</CharactersWithSpaces>
  <Application>WPS Office_11.1.0.11411_F1E327BC-269C-435d-A152-05C5408002CA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鹵鹵酱</cp:lastModifiedBy>
  <dcterms:modified xsi:type="dcterms:W3CDTF">2022-06-09T07:52:00Z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0286ECA6196C4209A8FD859034A993C5</vt:lpwstr>
  </property>
</Properties>
</file>